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75" w:rsidRPr="00571E84" w:rsidRDefault="00022465" w:rsidP="00571E8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727175" w:rsidRPr="00571E84" w:rsidRDefault="00641475" w:rsidP="00571E84">
      <w:pPr>
        <w:ind w:firstLine="567"/>
        <w:jc w:val="center"/>
        <w:rPr>
          <w:b/>
          <w:sz w:val="28"/>
          <w:szCs w:val="28"/>
          <w:lang w:val="uk-UA"/>
        </w:rPr>
      </w:pPr>
      <w:r w:rsidRPr="00571E84">
        <w:rPr>
          <w:b/>
          <w:sz w:val="28"/>
          <w:szCs w:val="28"/>
          <w:lang w:val="uk-UA"/>
        </w:rPr>
        <w:t xml:space="preserve">про стан виконання </w:t>
      </w:r>
      <w:r w:rsidR="0009409E" w:rsidRPr="00571E84">
        <w:rPr>
          <w:b/>
          <w:sz w:val="28"/>
          <w:szCs w:val="28"/>
          <w:lang w:val="uk-UA"/>
        </w:rPr>
        <w:t>у 202</w:t>
      </w:r>
      <w:r w:rsidR="00CC3C75" w:rsidRPr="00571E84">
        <w:rPr>
          <w:b/>
          <w:sz w:val="28"/>
          <w:szCs w:val="28"/>
          <w:lang w:val="uk-UA"/>
        </w:rPr>
        <w:t>2</w:t>
      </w:r>
      <w:r w:rsidR="00727175" w:rsidRPr="00571E84">
        <w:rPr>
          <w:b/>
          <w:sz w:val="28"/>
          <w:szCs w:val="28"/>
          <w:lang w:val="uk-UA"/>
        </w:rPr>
        <w:t xml:space="preserve"> році «Обласної цільової Програми розвитку туризму</w:t>
      </w:r>
      <w:r w:rsidR="0009409E" w:rsidRPr="00571E84">
        <w:rPr>
          <w:b/>
          <w:sz w:val="28"/>
          <w:szCs w:val="28"/>
          <w:lang w:val="uk-UA"/>
        </w:rPr>
        <w:t xml:space="preserve"> в Чернігівській області на 2021-2027</w:t>
      </w:r>
      <w:r w:rsidR="00727175" w:rsidRPr="00571E84">
        <w:rPr>
          <w:b/>
          <w:sz w:val="28"/>
          <w:szCs w:val="28"/>
          <w:lang w:val="uk-UA"/>
        </w:rPr>
        <w:t xml:space="preserve"> роки»</w:t>
      </w:r>
    </w:p>
    <w:p w:rsidR="00727175" w:rsidRPr="00571E84" w:rsidRDefault="00727175" w:rsidP="00571E84">
      <w:pPr>
        <w:ind w:firstLine="567"/>
        <w:rPr>
          <w:sz w:val="28"/>
          <w:szCs w:val="28"/>
          <w:highlight w:val="yellow"/>
          <w:lang w:val="uk-UA"/>
        </w:rPr>
      </w:pPr>
    </w:p>
    <w:p w:rsidR="00C62B7D" w:rsidRPr="00571E84" w:rsidRDefault="00C62B7D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 xml:space="preserve">Враховуючи введення в </w:t>
      </w:r>
      <w:r w:rsidR="000C4E41" w:rsidRPr="00571E84">
        <w:rPr>
          <w:sz w:val="28"/>
          <w:szCs w:val="28"/>
          <w:lang w:val="uk-UA"/>
        </w:rPr>
        <w:t xml:space="preserve">Україні </w:t>
      </w:r>
      <w:r w:rsidRPr="00571E84">
        <w:rPr>
          <w:sz w:val="28"/>
          <w:szCs w:val="28"/>
          <w:lang w:val="uk-UA"/>
        </w:rPr>
        <w:t>режиму воєнного стану</w:t>
      </w:r>
      <w:r w:rsidR="000C4E41" w:rsidRPr="00571E84">
        <w:rPr>
          <w:sz w:val="28"/>
          <w:szCs w:val="28"/>
          <w:lang w:val="uk-UA"/>
        </w:rPr>
        <w:t xml:space="preserve"> з 24 лютого 2022 року</w:t>
      </w:r>
      <w:r w:rsidRPr="00571E84">
        <w:rPr>
          <w:sz w:val="28"/>
          <w:szCs w:val="28"/>
          <w:lang w:val="uk-UA"/>
        </w:rPr>
        <w:t>, проведення активних бойових дій та постійну небезпеку зі сторони агресора реалізацію заходів Обласної цільової Програми розвитку туризму в Чернігівській області на 2021-2027 роки (далі - Програми), запланова</w:t>
      </w:r>
      <w:r w:rsidR="00571E84" w:rsidRPr="00571E84">
        <w:rPr>
          <w:sz w:val="28"/>
          <w:szCs w:val="28"/>
          <w:lang w:val="uk-UA"/>
        </w:rPr>
        <w:t>них на 2022 рік, було обмежено.</w:t>
      </w:r>
    </w:p>
    <w:p w:rsidR="00085E05" w:rsidRPr="00571E84" w:rsidRDefault="0009409E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 xml:space="preserve">У </w:t>
      </w:r>
      <w:r w:rsidR="000C4E41" w:rsidRPr="00571E84">
        <w:rPr>
          <w:sz w:val="28"/>
          <w:szCs w:val="28"/>
          <w:lang w:val="uk-UA"/>
        </w:rPr>
        <w:t>звітному</w:t>
      </w:r>
      <w:r w:rsidR="00085E05" w:rsidRPr="00571E84">
        <w:rPr>
          <w:sz w:val="28"/>
          <w:szCs w:val="28"/>
          <w:lang w:val="uk-UA"/>
        </w:rPr>
        <w:t xml:space="preserve"> році на виконання </w:t>
      </w:r>
      <w:r w:rsidR="000C4E41" w:rsidRPr="00571E84">
        <w:rPr>
          <w:sz w:val="28"/>
          <w:szCs w:val="28"/>
          <w:lang w:val="uk-UA"/>
        </w:rPr>
        <w:t>Програми</w:t>
      </w:r>
      <w:r w:rsidR="00085E05" w:rsidRPr="00571E84">
        <w:rPr>
          <w:sz w:val="28"/>
          <w:szCs w:val="28"/>
          <w:lang w:val="uk-UA"/>
        </w:rPr>
        <w:t xml:space="preserve"> з обласного бюджету залуч</w:t>
      </w:r>
      <w:r w:rsidR="007B5E81" w:rsidRPr="00571E84">
        <w:rPr>
          <w:sz w:val="28"/>
          <w:szCs w:val="28"/>
          <w:lang w:val="uk-UA"/>
        </w:rPr>
        <w:t xml:space="preserve">ено </w:t>
      </w:r>
      <w:r w:rsidR="00001D48" w:rsidRPr="00571E84">
        <w:rPr>
          <w:sz w:val="28"/>
          <w:szCs w:val="28"/>
          <w:lang w:val="uk-UA"/>
        </w:rPr>
        <w:t>10</w:t>
      </w:r>
      <w:r w:rsidR="00632D38" w:rsidRPr="00571E84">
        <w:rPr>
          <w:sz w:val="28"/>
          <w:szCs w:val="28"/>
          <w:lang w:val="uk-UA"/>
        </w:rPr>
        <w:t>,</w:t>
      </w:r>
      <w:r w:rsidR="00001D48" w:rsidRPr="00571E84">
        <w:rPr>
          <w:sz w:val="28"/>
          <w:szCs w:val="28"/>
          <w:lang w:val="uk-UA"/>
        </w:rPr>
        <w:t>602</w:t>
      </w:r>
      <w:r w:rsidR="00C57126" w:rsidRPr="00571E84">
        <w:rPr>
          <w:sz w:val="28"/>
          <w:szCs w:val="28"/>
          <w:lang w:val="uk-UA"/>
        </w:rPr>
        <w:t xml:space="preserve"> </w:t>
      </w:r>
      <w:r w:rsidR="007B5E81" w:rsidRPr="00571E84">
        <w:rPr>
          <w:sz w:val="28"/>
          <w:szCs w:val="28"/>
          <w:lang w:val="uk-UA"/>
        </w:rPr>
        <w:t>тис. грн.</w:t>
      </w:r>
    </w:p>
    <w:p w:rsidR="00001D48" w:rsidRPr="00571E84" w:rsidRDefault="00001D48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>Зокрема, кошти були використані на забезпечення роботи обласного туристичного сайту chernihivregion.tra</w:t>
      </w:r>
      <w:bookmarkStart w:id="0" w:name="_GoBack"/>
      <w:bookmarkEnd w:id="0"/>
      <w:r w:rsidRPr="00571E84">
        <w:rPr>
          <w:sz w:val="28"/>
          <w:szCs w:val="28"/>
          <w:lang w:val="uk-UA"/>
        </w:rPr>
        <w:t>vel та погашення кредиторської заборгованості, утвореної станом на 01.01.2022 року.</w:t>
      </w:r>
    </w:p>
    <w:p w:rsidR="00C62B7D" w:rsidRPr="00571E84" w:rsidRDefault="00085E05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>Відповідальн</w:t>
      </w:r>
      <w:r w:rsidR="00C63F6C" w:rsidRPr="00571E84">
        <w:rPr>
          <w:sz w:val="28"/>
          <w:szCs w:val="28"/>
          <w:lang w:val="uk-UA"/>
        </w:rPr>
        <w:t>ими</w:t>
      </w:r>
      <w:r w:rsidRPr="00571E84">
        <w:rPr>
          <w:sz w:val="28"/>
          <w:szCs w:val="28"/>
          <w:lang w:val="uk-UA"/>
        </w:rPr>
        <w:t xml:space="preserve"> виконавц</w:t>
      </w:r>
      <w:r w:rsidR="00C63F6C" w:rsidRPr="00571E84">
        <w:rPr>
          <w:sz w:val="28"/>
          <w:szCs w:val="28"/>
          <w:lang w:val="uk-UA"/>
        </w:rPr>
        <w:t>ями</w:t>
      </w:r>
      <w:r w:rsidRPr="00571E84">
        <w:rPr>
          <w:sz w:val="28"/>
          <w:szCs w:val="28"/>
          <w:lang w:val="uk-UA"/>
        </w:rPr>
        <w:t xml:space="preserve"> та розпорядник</w:t>
      </w:r>
      <w:r w:rsidR="00C63F6C" w:rsidRPr="00571E84">
        <w:rPr>
          <w:sz w:val="28"/>
          <w:szCs w:val="28"/>
          <w:lang w:val="uk-UA"/>
        </w:rPr>
        <w:t>ами</w:t>
      </w:r>
      <w:r w:rsidRPr="00571E84">
        <w:rPr>
          <w:sz w:val="28"/>
          <w:szCs w:val="28"/>
          <w:lang w:val="uk-UA"/>
        </w:rPr>
        <w:t xml:space="preserve"> коштів за реалізацію Програми є Департамент культури і туризму, національностей та релігій обл</w:t>
      </w:r>
      <w:r w:rsidR="00B745FB" w:rsidRPr="00571E84">
        <w:rPr>
          <w:sz w:val="28"/>
          <w:szCs w:val="28"/>
          <w:lang w:val="uk-UA"/>
        </w:rPr>
        <w:t xml:space="preserve">асної </w:t>
      </w:r>
      <w:r w:rsidRPr="00571E84">
        <w:rPr>
          <w:sz w:val="28"/>
          <w:szCs w:val="28"/>
          <w:lang w:val="uk-UA"/>
        </w:rPr>
        <w:t>держ</w:t>
      </w:r>
      <w:r w:rsidR="00B745FB" w:rsidRPr="00571E84">
        <w:rPr>
          <w:sz w:val="28"/>
          <w:szCs w:val="28"/>
          <w:lang w:val="uk-UA"/>
        </w:rPr>
        <w:t xml:space="preserve">авної </w:t>
      </w:r>
      <w:r w:rsidRPr="00571E84">
        <w:rPr>
          <w:sz w:val="28"/>
          <w:szCs w:val="28"/>
          <w:lang w:val="uk-UA"/>
        </w:rPr>
        <w:t>адміністрації</w:t>
      </w:r>
      <w:r w:rsidR="00496831" w:rsidRPr="00571E84">
        <w:rPr>
          <w:sz w:val="28"/>
          <w:szCs w:val="28"/>
          <w:lang w:val="uk-UA"/>
        </w:rPr>
        <w:t xml:space="preserve">. </w:t>
      </w:r>
      <w:r w:rsidRPr="00571E84">
        <w:rPr>
          <w:sz w:val="28"/>
          <w:szCs w:val="28"/>
          <w:lang w:val="uk-UA"/>
        </w:rPr>
        <w:t xml:space="preserve">Координація та контроль виконання Програми здійснюється Департаментом культури і туризму, національностей та релігій </w:t>
      </w:r>
      <w:r w:rsidR="00B745FB" w:rsidRPr="00571E84">
        <w:rPr>
          <w:sz w:val="28"/>
          <w:szCs w:val="28"/>
          <w:lang w:val="uk-UA"/>
        </w:rPr>
        <w:t>обласної державної адміністрації</w:t>
      </w:r>
      <w:r w:rsidRPr="00571E84">
        <w:rPr>
          <w:sz w:val="28"/>
          <w:szCs w:val="28"/>
          <w:lang w:val="uk-UA"/>
        </w:rPr>
        <w:t xml:space="preserve"> та постійною комісією обласної ради з питань сім’ї, молоді, спорту та туризму.</w:t>
      </w:r>
    </w:p>
    <w:p w:rsidR="00C62B7D" w:rsidRPr="00571E84" w:rsidRDefault="00C62B7D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>Регіональні та міжнародні спеціалізовані туристичні заходи у 2022 році в країні не проводились та були перенесені на невизначений час. Проведення промотурів територією області у звітному році в умовах воєнного стану також були під забороною.</w:t>
      </w:r>
    </w:p>
    <w:p w:rsidR="00C62B7D" w:rsidRPr="00571E84" w:rsidRDefault="00C62B7D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 xml:space="preserve">Проте Департаментом культури і туризму, національностей та релігій </w:t>
      </w:r>
      <w:r w:rsidR="00B745FB" w:rsidRPr="00571E84">
        <w:rPr>
          <w:sz w:val="28"/>
          <w:szCs w:val="28"/>
          <w:lang w:val="uk-UA"/>
        </w:rPr>
        <w:t>обласної державної адміністрації</w:t>
      </w:r>
      <w:r w:rsidRPr="00571E84">
        <w:rPr>
          <w:sz w:val="28"/>
          <w:szCs w:val="28"/>
          <w:lang w:val="uk-UA"/>
        </w:rPr>
        <w:t xml:space="preserve"> було забезпечено роботу та наповнення обласного туристичного порталу «Чернігівщина туристична» (chernihivregion.trav</w:t>
      </w:r>
      <w:r w:rsidR="00906337">
        <w:rPr>
          <w:sz w:val="28"/>
          <w:szCs w:val="28"/>
          <w:lang w:val="uk-UA"/>
        </w:rPr>
        <w:t xml:space="preserve"> </w:t>
      </w:r>
      <w:r w:rsidRPr="00571E84">
        <w:rPr>
          <w:sz w:val="28"/>
          <w:szCs w:val="28"/>
          <w:lang w:val="uk-UA"/>
        </w:rPr>
        <w:t>el), який має понад 380 тисяч переглядів за 2022 рік. Зокрема, додано акаунти екскурсоводів, інклюзивні послуги, туристичні маршрути та інше. Створено «VR-музей пам’яті війни», де у форматі 3D-турів відображені наслідки руйнувань, які зазнала Чернігівська область під час окупації. Також на сторінках «Чернігівщина туристична» у соціальних мережах постійно публікуються статті та н</w:t>
      </w:r>
      <w:r w:rsidR="00571E84" w:rsidRPr="00571E84">
        <w:rPr>
          <w:sz w:val="28"/>
          <w:szCs w:val="28"/>
          <w:lang w:val="uk-UA"/>
        </w:rPr>
        <w:t>овини, що популяризують регіон.</w:t>
      </w:r>
    </w:p>
    <w:p w:rsidR="00007753" w:rsidRPr="00571E84" w:rsidRDefault="00007753" w:rsidP="00571E84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E84">
        <w:rPr>
          <w:rFonts w:ascii="Times New Roman" w:hAnsi="Times New Roman" w:cs="Times New Roman"/>
          <w:sz w:val="28"/>
          <w:szCs w:val="28"/>
          <w:lang w:val="uk-UA"/>
        </w:rPr>
        <w:t xml:space="preserve">Для популяризації безпечного відпочинку на водоймах було підготовлено інформацію про відпочинок на р.Сейм (м.Батурин), парк-готель «Лісове озеро» (біля парку природи «Беремицьке»), відпочинок на р.Снов –еко-готель «Шишкин» та надано </w:t>
      </w:r>
      <w:r w:rsidR="00571E84" w:rsidRPr="00571E84">
        <w:rPr>
          <w:rFonts w:ascii="Times New Roman" w:hAnsi="Times New Roman"/>
          <w:bCs/>
          <w:sz w:val="28"/>
          <w:szCs w:val="28"/>
          <w:lang w:val="uk-UA"/>
        </w:rPr>
        <w:t>«Discоver UA»</w:t>
      </w:r>
      <w:r w:rsidRPr="00571E84">
        <w:rPr>
          <w:rFonts w:ascii="Times New Roman" w:hAnsi="Times New Roman"/>
          <w:bCs/>
          <w:sz w:val="28"/>
          <w:szCs w:val="28"/>
          <w:lang w:val="uk-UA"/>
        </w:rPr>
        <w:t xml:space="preserve"> для подальшого розповсюдження серед охочих подорожувати Чернігівською областю.</w:t>
      </w:r>
    </w:p>
    <w:p w:rsidR="00C62B7D" w:rsidRPr="00571E84" w:rsidRDefault="00C62B7D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 xml:space="preserve">З метою залучення грантових коштів для розвитку галузі взято участь у проведенні семінарів-консультацій «Отримання мікрогрантів» для представників туристичної сфери та інших видів бізнесу у Куликівській, Батуринській та Бахмацькій громадах. Семінари організовано спільно з фахівцями Фонду підтримки підприємництва у Чернігівській області, Чернігівського обласного центру розвитку туризму, Чернігівського обласного управління АТ «Ощадбанк», Чернігівського обласного центру зайнятості. </w:t>
      </w:r>
      <w:r w:rsidRPr="00571E84">
        <w:rPr>
          <w:sz w:val="28"/>
          <w:szCs w:val="28"/>
          <w:lang w:val="uk-UA"/>
        </w:rPr>
        <w:lastRenderedPageBreak/>
        <w:t>Також проведено навчальний вебінар для туристичного бізнесу з питань правильного заповнення документів на отримання грантових коштів.</w:t>
      </w:r>
    </w:p>
    <w:p w:rsidR="00C62B7D" w:rsidRPr="00571E84" w:rsidRDefault="00C62B7D" w:rsidP="00571E84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E84">
        <w:rPr>
          <w:rFonts w:ascii="Times New Roman" w:hAnsi="Times New Roman" w:cs="Times New Roman"/>
          <w:sz w:val="28"/>
          <w:szCs w:val="28"/>
          <w:lang w:val="uk-UA"/>
        </w:rPr>
        <w:t>Взято участь у тренінгу, організованому Державним агентством роз</w:t>
      </w:r>
      <w:r w:rsidR="00571E84" w:rsidRPr="00571E84">
        <w:rPr>
          <w:rFonts w:ascii="Times New Roman" w:hAnsi="Times New Roman" w:cs="Times New Roman"/>
          <w:sz w:val="28"/>
          <w:szCs w:val="28"/>
          <w:lang w:val="uk-UA"/>
        </w:rPr>
        <w:t xml:space="preserve">витку туризму спільно з Google </w:t>
      </w:r>
      <w:r w:rsidRPr="00571E84">
        <w:rPr>
          <w:rFonts w:ascii="Times New Roman" w:hAnsi="Times New Roman" w:cs="Times New Roman"/>
          <w:sz w:val="28"/>
          <w:szCs w:val="28"/>
          <w:lang w:val="uk-UA"/>
        </w:rPr>
        <w:t>«Цифрові можливості відновлення туристичної сфери» (22 червня) під час якої представники туристичної сфери змогли ознайомитися з основами та нюансами використання гугл-карт, визначення локацій, захисту діяльності в Інтернеті, залучення туристів через онлайн-ресурси та інше.</w:t>
      </w:r>
    </w:p>
    <w:p w:rsidR="0009409E" w:rsidRPr="00571E84" w:rsidRDefault="00B5005F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 xml:space="preserve">Окрім того, у звітному періоді для </w:t>
      </w:r>
      <w:r w:rsidR="00C62B7D" w:rsidRPr="00571E84">
        <w:rPr>
          <w:sz w:val="28"/>
          <w:szCs w:val="28"/>
          <w:lang w:val="uk-UA"/>
        </w:rPr>
        <w:t>обговорення питань безпеки туристів  23 червня 2022 року проведено зустріч з туристичним активом області під час якої розглядалися питання про можливі укриття для туристичних груп під час сигналу повітряної тривоги в місті та області, про навігацію до найближчих бомбосховищ міста та проведення безкоштовних екскурсій для ЗСУ.</w:t>
      </w:r>
    </w:p>
    <w:p w:rsidR="0009409E" w:rsidRPr="00571E84" w:rsidRDefault="00B96095" w:rsidP="00571E84">
      <w:pPr>
        <w:ind w:firstLine="567"/>
        <w:rPr>
          <w:sz w:val="28"/>
          <w:szCs w:val="28"/>
          <w:lang w:val="uk-UA"/>
        </w:rPr>
      </w:pPr>
      <w:r w:rsidRPr="00571E84">
        <w:rPr>
          <w:sz w:val="28"/>
          <w:szCs w:val="28"/>
          <w:lang w:val="uk-UA"/>
        </w:rPr>
        <w:t xml:space="preserve">У зв’язку з воєнними діями в країні туристичні потоки значно скоротилися. </w:t>
      </w:r>
      <w:r w:rsidR="0009409E" w:rsidRPr="00571E84">
        <w:rPr>
          <w:color w:val="000000"/>
          <w:sz w:val="28"/>
          <w:szCs w:val="28"/>
          <w:lang w:val="uk-UA"/>
        </w:rPr>
        <w:t>Відпов</w:t>
      </w:r>
      <w:r w:rsidRPr="00571E84">
        <w:rPr>
          <w:color w:val="000000"/>
          <w:sz w:val="28"/>
          <w:szCs w:val="28"/>
          <w:lang w:val="uk-UA"/>
        </w:rPr>
        <w:t xml:space="preserve">ідно до статистичних даних за 2022 рік кількість екскурсантів, </w:t>
      </w:r>
      <w:r w:rsidR="0009409E" w:rsidRPr="00571E84">
        <w:rPr>
          <w:sz w:val="28"/>
          <w:szCs w:val="28"/>
          <w:lang w:val="uk-UA"/>
        </w:rPr>
        <w:t xml:space="preserve">які </w:t>
      </w:r>
      <w:r w:rsidR="003C6A48" w:rsidRPr="00571E84">
        <w:rPr>
          <w:sz w:val="28"/>
          <w:szCs w:val="28"/>
          <w:lang w:val="uk-UA"/>
        </w:rPr>
        <w:t xml:space="preserve">відвідали </w:t>
      </w:r>
      <w:r w:rsidR="0009409E" w:rsidRPr="00571E84">
        <w:rPr>
          <w:sz w:val="28"/>
          <w:szCs w:val="28"/>
          <w:lang w:val="uk-UA"/>
        </w:rPr>
        <w:t>основні туристич</w:t>
      </w:r>
      <w:r w:rsidR="005B223E" w:rsidRPr="00571E84">
        <w:rPr>
          <w:sz w:val="28"/>
          <w:szCs w:val="28"/>
          <w:lang w:val="uk-UA"/>
        </w:rPr>
        <w:t xml:space="preserve">ні об’єкти області становить </w:t>
      </w:r>
      <w:r w:rsidR="00EA19AB" w:rsidRPr="00571E84">
        <w:rPr>
          <w:sz w:val="28"/>
          <w:szCs w:val="28"/>
          <w:lang w:val="uk-UA"/>
        </w:rPr>
        <w:t>118,4</w:t>
      </w:r>
      <w:r w:rsidR="0009409E" w:rsidRPr="00571E84">
        <w:rPr>
          <w:sz w:val="28"/>
          <w:szCs w:val="28"/>
          <w:lang w:val="uk-UA"/>
        </w:rPr>
        <w:t xml:space="preserve"> тис. чоловік</w:t>
      </w:r>
      <w:r w:rsidR="00EA19AB" w:rsidRPr="00571E84">
        <w:rPr>
          <w:sz w:val="28"/>
          <w:szCs w:val="28"/>
          <w:lang w:val="uk-UA"/>
        </w:rPr>
        <w:t>, що складає лише 8% від показників 2021 року</w:t>
      </w:r>
      <w:r w:rsidR="0009409E" w:rsidRPr="00571E84">
        <w:rPr>
          <w:sz w:val="28"/>
          <w:szCs w:val="28"/>
          <w:lang w:val="uk-UA"/>
        </w:rPr>
        <w:t xml:space="preserve">. </w:t>
      </w:r>
    </w:p>
    <w:p w:rsidR="00727175" w:rsidRPr="00571E84" w:rsidRDefault="0009409E" w:rsidP="00571E84">
      <w:pPr>
        <w:ind w:firstLine="567"/>
        <w:rPr>
          <w:color w:val="000000"/>
          <w:sz w:val="28"/>
          <w:szCs w:val="28"/>
          <w:lang w:val="uk-UA"/>
        </w:rPr>
      </w:pPr>
      <w:r w:rsidRPr="00571E84">
        <w:rPr>
          <w:color w:val="000000"/>
          <w:sz w:val="28"/>
          <w:szCs w:val="28"/>
          <w:lang w:val="uk-UA"/>
        </w:rPr>
        <w:t xml:space="preserve">Сума надходжень туристичного збору до місцевих бюджетів області за 12 місяців </w:t>
      </w:r>
      <w:r w:rsidR="000A2EFF" w:rsidRPr="00571E84">
        <w:rPr>
          <w:color w:val="000000"/>
          <w:sz w:val="28"/>
          <w:szCs w:val="28"/>
          <w:lang w:val="uk-UA"/>
        </w:rPr>
        <w:t>звітного</w:t>
      </w:r>
      <w:r w:rsidRPr="00571E84">
        <w:rPr>
          <w:color w:val="000000"/>
          <w:sz w:val="28"/>
          <w:szCs w:val="28"/>
          <w:lang w:val="uk-UA"/>
        </w:rPr>
        <w:t xml:space="preserve"> року складає</w:t>
      </w:r>
      <w:r w:rsidR="00012488" w:rsidRPr="00571E84">
        <w:rPr>
          <w:color w:val="000000"/>
          <w:sz w:val="28"/>
          <w:szCs w:val="28"/>
          <w:lang w:val="uk-UA"/>
        </w:rPr>
        <w:t xml:space="preserve"> 1061,0</w:t>
      </w:r>
      <w:r w:rsidR="00EA19AB" w:rsidRPr="00571E84">
        <w:rPr>
          <w:color w:val="000000"/>
          <w:sz w:val="28"/>
          <w:szCs w:val="28"/>
          <w:lang w:val="uk-UA"/>
        </w:rPr>
        <w:t xml:space="preserve"> тис.</w:t>
      </w:r>
      <w:r w:rsidR="008B5F18" w:rsidRPr="00571E84">
        <w:rPr>
          <w:color w:val="000000"/>
          <w:sz w:val="28"/>
          <w:szCs w:val="28"/>
          <w:lang w:val="uk-UA"/>
        </w:rPr>
        <w:t xml:space="preserve"> </w:t>
      </w:r>
      <w:r w:rsidR="00EA19AB" w:rsidRPr="00571E84">
        <w:rPr>
          <w:color w:val="000000"/>
          <w:sz w:val="28"/>
          <w:szCs w:val="28"/>
          <w:lang w:val="uk-UA"/>
        </w:rPr>
        <w:t>грн, що на 53% менше ніж за 2021</w:t>
      </w:r>
      <w:r w:rsidRPr="00571E84">
        <w:rPr>
          <w:color w:val="000000"/>
          <w:sz w:val="28"/>
          <w:szCs w:val="28"/>
          <w:lang w:val="uk-UA"/>
        </w:rPr>
        <w:t xml:space="preserve"> рік. Надходження до місцевих бюджетів від суб’єктів господарської діяльності, які займаються туристичною діяльністю складають </w:t>
      </w:r>
      <w:r w:rsidR="00EA19AB" w:rsidRPr="00571E84">
        <w:rPr>
          <w:sz w:val="28"/>
          <w:szCs w:val="28"/>
          <w:lang w:val="uk-UA"/>
        </w:rPr>
        <w:t xml:space="preserve">11538,88 </w:t>
      </w:r>
      <w:r w:rsidR="00EA19AB" w:rsidRPr="00571E84">
        <w:rPr>
          <w:color w:val="000000"/>
          <w:sz w:val="28"/>
          <w:szCs w:val="28"/>
          <w:lang w:val="uk-UA"/>
        </w:rPr>
        <w:t>тис. грн, що на 39% менше ніж у 2021</w:t>
      </w:r>
      <w:r w:rsidRPr="00571E84">
        <w:rPr>
          <w:color w:val="000000"/>
          <w:sz w:val="28"/>
          <w:szCs w:val="28"/>
          <w:lang w:val="uk-UA"/>
        </w:rPr>
        <w:t xml:space="preserve"> році.</w:t>
      </w:r>
    </w:p>
    <w:sectPr w:rsidR="00727175" w:rsidRPr="00571E84" w:rsidSect="00B5430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567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2A" w:rsidRDefault="001E282A" w:rsidP="001B6A2B">
      <w:r>
        <w:separator/>
      </w:r>
    </w:p>
  </w:endnote>
  <w:endnote w:type="continuationSeparator" w:id="0">
    <w:p w:rsidR="001E282A" w:rsidRDefault="001E282A" w:rsidP="001B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2A" w:rsidRDefault="001E282A" w:rsidP="001B6A2B">
      <w:r>
        <w:separator/>
      </w:r>
    </w:p>
  </w:footnote>
  <w:footnote w:type="continuationSeparator" w:id="0">
    <w:p w:rsidR="001E282A" w:rsidRDefault="001E282A" w:rsidP="001B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DD" w:rsidRDefault="00812BDD" w:rsidP="0080372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12BDD" w:rsidRDefault="00812B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91045"/>
      <w:docPartObj>
        <w:docPartGallery w:val="Page Numbers (Top of Page)"/>
        <w:docPartUnique/>
      </w:docPartObj>
    </w:sdtPr>
    <w:sdtEndPr/>
    <w:sdtContent>
      <w:p w:rsidR="00B54303" w:rsidRDefault="00B543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65">
          <w:rPr>
            <w:noProof/>
          </w:rPr>
          <w:t>1</w:t>
        </w:r>
        <w:r>
          <w:fldChar w:fldCharType="end"/>
        </w:r>
      </w:p>
    </w:sdtContent>
  </w:sdt>
  <w:p w:rsidR="00B54303" w:rsidRDefault="00B54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30327"/>
      <w:docPartObj>
        <w:docPartGallery w:val="Page Numbers (Top of Page)"/>
        <w:docPartUnique/>
      </w:docPartObj>
    </w:sdtPr>
    <w:sdtEndPr/>
    <w:sdtContent>
      <w:p w:rsidR="00B54303" w:rsidRDefault="00B54303" w:rsidP="00B543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0D7E46"/>
    <w:multiLevelType w:val="hybridMultilevel"/>
    <w:tmpl w:val="5B08AEAA"/>
    <w:lvl w:ilvl="0" w:tplc="578C021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2B"/>
    <w:rsid w:val="00001D48"/>
    <w:rsid w:val="00002FEC"/>
    <w:rsid w:val="00007753"/>
    <w:rsid w:val="00012488"/>
    <w:rsid w:val="00022465"/>
    <w:rsid w:val="00055903"/>
    <w:rsid w:val="00082DD1"/>
    <w:rsid w:val="00083EF7"/>
    <w:rsid w:val="00085E05"/>
    <w:rsid w:val="0009409E"/>
    <w:rsid w:val="000A2EFF"/>
    <w:rsid w:val="000B6FD0"/>
    <w:rsid w:val="000C4E41"/>
    <w:rsid w:val="000D2BCF"/>
    <w:rsid w:val="000D63BA"/>
    <w:rsid w:val="000F57DA"/>
    <w:rsid w:val="000F63EA"/>
    <w:rsid w:val="00107DAB"/>
    <w:rsid w:val="001637CE"/>
    <w:rsid w:val="001847CB"/>
    <w:rsid w:val="00194FC9"/>
    <w:rsid w:val="0019679C"/>
    <w:rsid w:val="001B3067"/>
    <w:rsid w:val="001B6A2B"/>
    <w:rsid w:val="001B726F"/>
    <w:rsid w:val="001E282A"/>
    <w:rsid w:val="001F082A"/>
    <w:rsid w:val="00253C1C"/>
    <w:rsid w:val="002579D4"/>
    <w:rsid w:val="00260654"/>
    <w:rsid w:val="00264E38"/>
    <w:rsid w:val="00275B69"/>
    <w:rsid w:val="00275C0E"/>
    <w:rsid w:val="002A05BA"/>
    <w:rsid w:val="002C1BA9"/>
    <w:rsid w:val="002C364E"/>
    <w:rsid w:val="002D6380"/>
    <w:rsid w:val="00301C40"/>
    <w:rsid w:val="00303358"/>
    <w:rsid w:val="00352D72"/>
    <w:rsid w:val="003535D0"/>
    <w:rsid w:val="00375BC9"/>
    <w:rsid w:val="00382308"/>
    <w:rsid w:val="00390439"/>
    <w:rsid w:val="003A44AA"/>
    <w:rsid w:val="003B0F08"/>
    <w:rsid w:val="003C6A48"/>
    <w:rsid w:val="003F0E00"/>
    <w:rsid w:val="003F3F0F"/>
    <w:rsid w:val="0041372C"/>
    <w:rsid w:val="004224C5"/>
    <w:rsid w:val="00433774"/>
    <w:rsid w:val="00496831"/>
    <w:rsid w:val="004B3C0C"/>
    <w:rsid w:val="004E02FD"/>
    <w:rsid w:val="00571E84"/>
    <w:rsid w:val="005821E5"/>
    <w:rsid w:val="005B223E"/>
    <w:rsid w:val="00602470"/>
    <w:rsid w:val="00626525"/>
    <w:rsid w:val="00632D38"/>
    <w:rsid w:val="00641475"/>
    <w:rsid w:val="006C1EDC"/>
    <w:rsid w:val="006E64C0"/>
    <w:rsid w:val="006F108F"/>
    <w:rsid w:val="006F3E20"/>
    <w:rsid w:val="00727175"/>
    <w:rsid w:val="00751026"/>
    <w:rsid w:val="0075712F"/>
    <w:rsid w:val="007A3A46"/>
    <w:rsid w:val="007A6FF9"/>
    <w:rsid w:val="007B5E81"/>
    <w:rsid w:val="007E6564"/>
    <w:rsid w:val="007F4DEA"/>
    <w:rsid w:val="00803724"/>
    <w:rsid w:val="00804F00"/>
    <w:rsid w:val="00812BDD"/>
    <w:rsid w:val="008351D8"/>
    <w:rsid w:val="00850BD5"/>
    <w:rsid w:val="0086630C"/>
    <w:rsid w:val="0088170E"/>
    <w:rsid w:val="0088182D"/>
    <w:rsid w:val="008A479C"/>
    <w:rsid w:val="008A55BE"/>
    <w:rsid w:val="008B5F18"/>
    <w:rsid w:val="008C140F"/>
    <w:rsid w:val="008D0EB1"/>
    <w:rsid w:val="008D22E3"/>
    <w:rsid w:val="008E2328"/>
    <w:rsid w:val="008F373D"/>
    <w:rsid w:val="00901BF5"/>
    <w:rsid w:val="00902443"/>
    <w:rsid w:val="0090245C"/>
    <w:rsid w:val="00906337"/>
    <w:rsid w:val="00917572"/>
    <w:rsid w:val="0094704D"/>
    <w:rsid w:val="009561CD"/>
    <w:rsid w:val="00966F06"/>
    <w:rsid w:val="00996823"/>
    <w:rsid w:val="009A1022"/>
    <w:rsid w:val="009A1F9B"/>
    <w:rsid w:val="009C159E"/>
    <w:rsid w:val="009E32E8"/>
    <w:rsid w:val="009E3568"/>
    <w:rsid w:val="009F6A19"/>
    <w:rsid w:val="00A066E7"/>
    <w:rsid w:val="00A10B51"/>
    <w:rsid w:val="00A25A59"/>
    <w:rsid w:val="00A57918"/>
    <w:rsid w:val="00A63085"/>
    <w:rsid w:val="00A75C2F"/>
    <w:rsid w:val="00AB28BA"/>
    <w:rsid w:val="00AE09AB"/>
    <w:rsid w:val="00B15705"/>
    <w:rsid w:val="00B24155"/>
    <w:rsid w:val="00B4302A"/>
    <w:rsid w:val="00B5005F"/>
    <w:rsid w:val="00B54303"/>
    <w:rsid w:val="00B745FB"/>
    <w:rsid w:val="00B8587F"/>
    <w:rsid w:val="00B96095"/>
    <w:rsid w:val="00BC32C8"/>
    <w:rsid w:val="00BE41B9"/>
    <w:rsid w:val="00C07A76"/>
    <w:rsid w:val="00C26B29"/>
    <w:rsid w:val="00C44242"/>
    <w:rsid w:val="00C57126"/>
    <w:rsid w:val="00C62B7D"/>
    <w:rsid w:val="00C633AB"/>
    <w:rsid w:val="00C63F6C"/>
    <w:rsid w:val="00C75CE7"/>
    <w:rsid w:val="00CB6D25"/>
    <w:rsid w:val="00CC3C75"/>
    <w:rsid w:val="00D1766C"/>
    <w:rsid w:val="00D32ABA"/>
    <w:rsid w:val="00D32DAC"/>
    <w:rsid w:val="00D742E4"/>
    <w:rsid w:val="00D7513F"/>
    <w:rsid w:val="00DC628A"/>
    <w:rsid w:val="00DD535C"/>
    <w:rsid w:val="00DE58AF"/>
    <w:rsid w:val="00DF088C"/>
    <w:rsid w:val="00E41F58"/>
    <w:rsid w:val="00E47B42"/>
    <w:rsid w:val="00E56CB6"/>
    <w:rsid w:val="00E67806"/>
    <w:rsid w:val="00EA19AB"/>
    <w:rsid w:val="00EC1494"/>
    <w:rsid w:val="00EE132D"/>
    <w:rsid w:val="00F24972"/>
    <w:rsid w:val="00F31DE3"/>
    <w:rsid w:val="00F57156"/>
    <w:rsid w:val="00F67201"/>
    <w:rsid w:val="00F67917"/>
    <w:rsid w:val="00F71583"/>
    <w:rsid w:val="00FB5FEC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8C29F"/>
  <w15:docId w15:val="{2CDD4FA4-9661-4423-816B-42EA4D54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2B"/>
    <w:pPr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1B6A2B"/>
    <w:pPr>
      <w:widowControl w:val="0"/>
      <w:tabs>
        <w:tab w:val="right" w:pos="7767"/>
      </w:tabs>
      <w:autoSpaceDE w:val="0"/>
      <w:autoSpaceDN w:val="0"/>
      <w:adjustRightInd w:val="0"/>
      <w:spacing w:line="256" w:lineRule="auto"/>
      <w:ind w:firstLine="283"/>
    </w:pPr>
    <w:rPr>
      <w:rFonts w:ascii="PragmaticaC" w:hAnsi="PragmaticaC" w:cs="PragmaticaC"/>
      <w:color w:val="000000"/>
      <w:w w:val="90"/>
      <w:sz w:val="18"/>
      <w:szCs w:val="18"/>
      <w:lang w:val="uk-UA"/>
    </w:rPr>
  </w:style>
  <w:style w:type="paragraph" w:styleId="a3">
    <w:name w:val="header"/>
    <w:basedOn w:val="a"/>
    <w:link w:val="a4"/>
    <w:uiPriority w:val="99"/>
    <w:rsid w:val="001B6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B6A2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rsid w:val="001B6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1B6A2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rsid w:val="001B6A2B"/>
    <w:rPr>
      <w:color w:val="0000FF"/>
      <w:u w:val="single"/>
    </w:rPr>
  </w:style>
  <w:style w:type="character" w:styleId="a8">
    <w:name w:val="page number"/>
    <w:rsid w:val="000F63EA"/>
    <w:rPr>
      <w:rFonts w:cs="Times New Roman"/>
    </w:rPr>
  </w:style>
  <w:style w:type="character" w:styleId="a9">
    <w:name w:val="Strong"/>
    <w:qFormat/>
    <w:locked/>
    <w:rsid w:val="006F3E20"/>
    <w:rPr>
      <w:rFonts w:cs="Times New Roman"/>
      <w:b/>
      <w:bCs/>
    </w:rPr>
  </w:style>
  <w:style w:type="paragraph" w:styleId="aa">
    <w:name w:val="Balloon Text"/>
    <w:basedOn w:val="a"/>
    <w:link w:val="ab"/>
    <w:rsid w:val="008A55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A55BE"/>
    <w:rPr>
      <w:rFonts w:ascii="Segoe UI" w:hAnsi="Segoe UI" w:cs="Segoe UI"/>
      <w:sz w:val="18"/>
      <w:szCs w:val="18"/>
    </w:rPr>
  </w:style>
  <w:style w:type="paragraph" w:customStyle="1" w:styleId="ac">
    <w:name w:val="Знак Знак"/>
    <w:basedOn w:val="a"/>
    <w:rsid w:val="00A63085"/>
    <w:pPr>
      <w:jc w:val="left"/>
    </w:pPr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d">
    <w:name w:val="Normal (Web)"/>
    <w:basedOn w:val="a"/>
    <w:uiPriority w:val="99"/>
    <w:unhideWhenUsed/>
    <w:rsid w:val="0009409E"/>
    <w:pPr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1">
    <w:name w:val="Знак Знак1 Знак Знак Знак"/>
    <w:basedOn w:val="a"/>
    <w:rsid w:val="0009409E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62B7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виконання у 2015 році «Обласної цільової Програми розвитку туризму в Чернігівській області на 2013-2020 роки»</vt:lpstr>
    </vt:vector>
  </TitlesOfParts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виконання у 2015 році «Обласної цільової Програми розвитку туризму в Чернігівській області на 2013-2020 роки»</dc:title>
  <dc:creator>Дудко Люба</dc:creator>
  <cp:lastModifiedBy>Олександр</cp:lastModifiedBy>
  <cp:revision>20</cp:revision>
  <cp:lastPrinted>2021-02-01T13:14:00Z</cp:lastPrinted>
  <dcterms:created xsi:type="dcterms:W3CDTF">2023-02-01T11:52:00Z</dcterms:created>
  <dcterms:modified xsi:type="dcterms:W3CDTF">2024-10-24T13:11:00Z</dcterms:modified>
</cp:coreProperties>
</file>